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19"/>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19"/>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68A06A97"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sidR="00692E86" w:rsidRPr="00692E86">
              <w:rPr>
                <w:color w:val="000000"/>
                <w:sz w:val="16"/>
                <w:szCs w:val="16"/>
              </w:rPr>
              <w:t xml:space="preserve">Escalate to </w:t>
            </w:r>
            <w:r w:rsidR="00692E86" w:rsidRPr="00692E86">
              <w:rPr>
                <w:b/>
                <w:bCs/>
                <w:color w:val="000000"/>
                <w:sz w:val="16"/>
                <w:szCs w:val="16"/>
              </w:rPr>
              <w:t>Supervisor/PM immediately by phone</w:t>
            </w:r>
            <w:r w:rsidR="00692E86" w:rsidRPr="00692E86">
              <w:rPr>
                <w:color w:val="000000"/>
                <w:sz w:val="16"/>
                <w:szCs w:val="16"/>
              </w:rPr>
              <w:t xml:space="preserve"> and record in Breadcrumb/site diary. WhatsApp group optional secondary notification</w:t>
            </w:r>
          </w:p>
          <w:p w14:paraId="286A49ED" w14:textId="3E15DF2B"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19"/>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BABFDE0"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 xml:space="preserve">Exclusion zone to overhead powerlines: minimum 3 mt (≤132 kV), 6 mt (132–330 kV), 8 mt (330–500 kV), </w:t>
            </w:r>
            <w:r w:rsidR="00D701A7">
              <w:rPr>
                <w:color w:val="000000"/>
                <w:sz w:val="16"/>
                <w:szCs w:val="16"/>
              </w:rPr>
              <w:t>i</w:t>
            </w:r>
            <w:r w:rsidR="00D701A7" w:rsidRPr="00D701A7">
              <w:rPr>
                <w:color w:val="000000"/>
                <w:sz w:val="16"/>
                <w:szCs w:val="16"/>
              </w:rPr>
              <w:t>f voltage unknown, treat as high voltage and apply 8m</w:t>
            </w:r>
            <w:r w:rsidR="00D701A7">
              <w:rPr>
                <w:color w:val="000000"/>
                <w:sz w:val="16"/>
                <w:szCs w:val="16"/>
              </w:rPr>
              <w:t>t</w:t>
            </w:r>
            <w:r w:rsidR="00D701A7" w:rsidRPr="00D701A7">
              <w:rPr>
                <w:color w:val="000000"/>
                <w:sz w:val="16"/>
                <w:szCs w:val="16"/>
              </w:rPr>
              <w:t xml:space="preserve"> until confirmed with asset owner</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Lifting and Installation</w:t>
            </w:r>
          </w:p>
          <w:p>
            <w:pPr>
              <w:spacing w:before="20" w:after="20" w:line="276"/>
            </w:pPr>
            <w:r>
              <w:rPr>
                <w:rFonts w:ascii="Aptos" w:hAnsi="Aptos"/>
                <w:sz w:val="16"/>
                <w:szCs w:val="16"/>
              </w:rPr>
              <w:t xml:space="preserve">Mechanical lifting, positioning, and fixing of cladding panels including metal composite, fibre cement, terracotta, timber, and aluminium systems. Includes crane, hoist, and manual lifting operations.</w:t>
            </w:r>
          </w:p>
        </w:tc>
        <w:tc>
          <w:tcPr>
            <w:tcW w:w="2458" w:type="dxa"/>
          </w:tcPr>
          <w:p>
            <w:pPr>
              <w:spacing w:before="20" w:after="20" w:line="276"/>
            </w:pPr>
            <w:r>
              <w:rPr>
                <w:rFonts w:ascii="Aptos" w:hAnsi="Aptos"/>
                <w:sz w:val="16"/>
                <w:szCs w:val="16"/>
              </w:rPr>
              <w:t xml:space="preserve">Falling panel during lift — struck by. Panel caught by wind. Crush injury during positioning. Working at height during installation. Overloading of scaffold or EWP with panel weight.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Lift plan completed: panel weights confirmed, lifting equipment rated and certified, rigging method and attachment points verified</w:t>
            </w:r>
          </w:p>
          <w:p>
            <w:pPr>
              <w:spacing w:before="20" w:after="20" w:line="276"/>
              <w:numPr>
                <w:ilvl w:val="0"/>
                <w:numId w:val="44"/>
              </w:numPr>
            </w:pPr>
            <w:r>
              <w:rPr>
                <w:rFonts w:ascii="Aptos" w:hAnsi="Aptos"/>
                <w:sz w:val="16"/>
                <w:szCs w:val="16"/>
              </w:rPr>
              <w:t xml:space="preserve">Wind speed monitored — no lifting above 30 km/h or panel manufacturer limit, whichever is lower. Large panels (&gt;5m²): no lifting above 20 km/h</w:t>
            </w:r>
          </w:p>
          <w:p>
            <w:pPr>
              <w:spacing w:before="20" w:after="20" w:line="276"/>
              <w:numPr>
                <w:ilvl w:val="0"/>
                <w:numId w:val="44"/>
              </w:numPr>
            </w:pPr>
            <w:r>
              <w:rPr>
                <w:rFonts w:ascii="Aptos" w:hAnsi="Aptos"/>
                <w:sz w:val="16"/>
                <w:szCs w:val="16"/>
              </w:rPr>
              <w:t xml:space="preserve">Exclusion zone established below lifting zone — no workers beneath suspended panel at any time</w:t>
            </w:r>
          </w:p>
          <w:p>
            <w:pPr>
              <w:spacing w:before="20" w:after="20" w:line="276"/>
              <w:numPr>
                <w:ilvl w:val="0"/>
                <w:numId w:val="44"/>
              </w:numPr>
            </w:pPr>
            <w:r>
              <w:rPr>
                <w:rFonts w:ascii="Aptos" w:hAnsi="Aptos"/>
                <w:sz w:val="16"/>
                <w:szCs w:val="16"/>
              </w:rPr>
              <w:t xml:space="preserve">Scaffold or EWP load rating confirmed adequate for panel weight plus worker weight plus tools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Panel handling equipment (suction cups, clamps, lifting frames) rated for panel weight and type. Tag lines on all panels during crane lifts. Temporary fixing/bracing immediately on placement — panel not released from lifting equipment until minimum fixings installed per design.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Installation sequence per cladding design — verified with structural engineer for load distribution. Panel storage on site — stacked per manufacturer requirements, secured against wind. Delivery coordination — just-in-time where possible to minimise on-site storage.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Hard hat. Cut-resistant gloves. Steel capped footwear. Eye protection. Harness when working at height.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Wind exceeds lift limit — rigging equipment defective — panel damaged and structural integrity compromised — exclusion zone breached — scaffold/EWP overloaded — fixing system not per design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Removal and Demolition</w:t>
            </w:r>
          </w:p>
          <w:p>
            <w:pPr>
              <w:spacing w:before="20" w:after="20" w:line="276"/>
            </w:pPr>
            <w:r>
              <w:rPr>
                <w:rFonts w:ascii="Aptos" w:hAnsi="Aptos"/>
                <w:sz w:val="16"/>
                <w:szCs w:val="16"/>
              </w:rPr>
              <w:t xml:space="preserve">Controlled removal and demolition of existing cladding systems including assessment for hazardous materials, sequencing, and structural stability during progressive removal.</w:t>
            </w:r>
          </w:p>
        </w:tc>
        <w:tc>
          <w:tcPr>
            <w:tcW w:w="2458" w:type="dxa"/>
          </w:tcPr>
          <w:p>
            <w:pPr>
              <w:spacing w:before="20" w:after="20" w:line="276"/>
            </w:pPr>
            <w:r>
              <w:rPr>
                <w:rFonts w:ascii="Aptos" w:hAnsi="Aptos"/>
                <w:sz w:val="16"/>
                <w:szCs w:val="16"/>
              </w:rPr>
              <w:t xml:space="preserve">Falling panels — uncontrolled release. Asbestos or lead in existing cladding. Structural instability during progressive removal. Dust and debris. Working at height.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Hazardous materials assessment completed: existing cladding tested for asbestos and lead — clearance obtained or licensed removal arranged before general demolition</w:t>
            </w:r>
          </w:p>
          <w:p>
            <w:pPr>
              <w:spacing w:before="20" w:after="20" w:line="276"/>
              <w:numPr>
                <w:ilvl w:val="0"/>
                <w:numId w:val="46"/>
              </w:numPr>
            </w:pPr>
            <w:r>
              <w:rPr>
                <w:rFonts w:ascii="Aptos" w:hAnsi="Aptos"/>
                <w:sz w:val="16"/>
                <w:szCs w:val="16"/>
              </w:rPr>
              <w:t xml:space="preserve">Demolition sequence designed by competent person — structural engineer consulted if cladding contributes to building stability</w:t>
            </w:r>
          </w:p>
          <w:p>
            <w:pPr>
              <w:spacing w:before="20" w:after="20" w:line="276"/>
              <w:numPr>
                <w:ilvl w:val="0"/>
                <w:numId w:val="46"/>
              </w:numPr>
            </w:pPr>
            <w:r>
              <w:rPr>
                <w:rFonts w:ascii="Aptos" w:hAnsi="Aptos"/>
                <w:sz w:val="16"/>
                <w:szCs w:val="16"/>
              </w:rPr>
              <w:t xml:space="preserve">Exclusion zone established below removal zone — barricading and signage in place</w:t>
            </w:r>
          </w:p>
          <w:p>
            <w:pPr>
              <w:spacing w:before="20" w:after="20" w:line="276"/>
              <w:numPr>
                <w:ilvl w:val="0"/>
                <w:numId w:val="46"/>
              </w:numPr>
            </w:pPr>
            <w:r>
              <w:rPr>
                <w:rFonts w:ascii="Aptos" w:hAnsi="Aptos"/>
                <w:sz w:val="16"/>
                <w:szCs w:val="16"/>
              </w:rPr>
              <w:t xml:space="preserve">All panels secured before fixing removal commences — no unsecured panels at any time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Panels secured with temporary fixings or restraint before permanent fixings removed. Controlled lowering — no dropping or throwing panels. Debris containment — scaffold netting, catch platforms, enclosed chutes for waste material. Dust suppression during cutting.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Demolition plan reviewed by all workers. Removal sequence strictly followed — top to bottom, one panel at a time. Asbestos or lead identified: licensed removalist engaged per WHS Regulation. Waste segregation — recyclable, hazardous, general.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Cut-resistant gloves. Steel capped footwear. Eye protection and face shield during cutting. P2 respirator. Harness when working at height.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Suspected asbestos identified during removal — structural concern raised by competent person — panel release not controlled — exclusion zone breached — wind making panel handling unsafe — dust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Fixing and Fastening — Drilling, Screwing, Riveting</w:t>
            </w:r>
          </w:p>
          <w:p>
            <w:pPr>
              <w:spacing w:before="20" w:after="20" w:line="276"/>
            </w:pPr>
            <w:r>
              <w:rPr>
                <w:rFonts w:ascii="Aptos" w:hAnsi="Aptos"/>
                <w:sz w:val="16"/>
                <w:szCs w:val="16"/>
              </w:rPr>
              <w:t xml:space="preserve">Mechanical fixing of cladding panels, subframes, brackets, and components using power drills, screw guns, rivet guns, and pneumatic tools. Includes chemical anchoring and structural fixings.</w:t>
            </w:r>
          </w:p>
        </w:tc>
        <w:tc>
          <w:tcPr>
            <w:tcW w:w="2458" w:type="dxa"/>
          </w:tcPr>
          <w:p>
            <w:pPr>
              <w:spacing w:before="20" w:after="20" w:line="276"/>
            </w:pPr>
            <w:r>
              <w:rPr>
                <w:rFonts w:ascii="Aptos" w:hAnsi="Aptos"/>
                <w:sz w:val="16"/>
                <w:szCs w:val="16"/>
              </w:rPr>
              <w:t xml:space="preserve">Drill bit breakage — flying fragments. Noise exposure. Hand-arm vibration. Struck by rivet or screw. Electrical hazard from power tools.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Drill bits and fasteners matched to substrate — masonry, steel, or timber. Depth stop set for all chemical anchor drilling. Vibration-dampened tool handles where available. All power tools test-tagged current per AS/NZS 3012 — 3-monthly on construction sites.</w:t>
            </w:r>
          </w:p>
          <w:p>
            <w:pPr>
              <w:spacing w:before="20" w:after="20" w:line="276"/>
            </w:pPr>
            <w:r>
              <w:rPr>
                <w:rFonts w:ascii="Aptos" w:hAnsi="Aptos"/>
                <w:sz w:val="16"/>
                <w:szCs w:val="16"/>
                <w:b/>
              </w:rPr>
              <w:t xml:space="preserve">Admin: </w:t>
            </w:r>
            <w:r>
              <w:rPr>
                <w:rFonts w:ascii="Aptos" w:hAnsi="Aptos"/>
                <w:sz w:val="16"/>
                <w:szCs w:val="16"/>
              </w:rPr>
              <w:t xml:space="preserve">Fixing schedule and specification reviewed — fastener type, size, spacing, edge distance, embedment depth per cladding design. Pull-out testing at specified frequency per design. Services scan before drilling into any unknown substrate. Swarf and debris cleaned up progressively.</w:t>
            </w:r>
          </w:p>
          <w:p>
            <w:pPr>
              <w:spacing w:before="20" w:after="20" w:line="276"/>
            </w:pPr>
            <w:r>
              <w:rPr>
                <w:rFonts w:ascii="Aptos" w:hAnsi="Aptos"/>
                <w:sz w:val="16"/>
                <w:szCs w:val="16"/>
                <w:b/>
              </w:rPr>
              <w:t xml:space="preserve">PPE: </w:t>
            </w:r>
            <w:r>
              <w:rPr>
                <w:rFonts w:ascii="Aptos" w:hAnsi="Aptos"/>
                <w:sz w:val="16"/>
                <w:szCs w:val="16"/>
              </w:rPr>
              <w:t xml:space="preserve">Eye protection and face shield when drilling overhead. Hearing protection (&gt;85 dB). Cut-resistant gloves.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Substrate different from specification — fixing pull-out failure — services detected in drilling path — power tool defective — drill bit breakage frequency indicates wrong bit/substrate combination.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Metal Cutting and Fabrication On-Site</w:t>
            </w:r>
          </w:p>
          <w:p>
            <w:pPr>
              <w:spacing w:before="20" w:after="20" w:line="276"/>
            </w:pPr>
            <w:r>
              <w:rPr>
                <w:rFonts w:ascii="Aptos" w:hAnsi="Aptos"/>
                <w:sz w:val="16"/>
                <w:szCs w:val="16"/>
              </w:rPr>
              <w:t xml:space="preserve">Cutting, grinding, and fabrication of metal cladding components, subframes, and flashings on site using angle grinders, tin snips, nibblers, and guillotines.</w:t>
            </w:r>
          </w:p>
        </w:tc>
        <w:tc>
          <w:tcPr>
            <w:tcW w:w="2458" w:type="dxa"/>
          </w:tcPr>
          <w:p>
            <w:pPr>
              <w:spacing w:before="20" w:after="20" w:line="276"/>
            </w:pPr>
            <w:r>
              <w:rPr>
                <w:rFonts w:ascii="Aptos" w:hAnsi="Aptos"/>
                <w:sz w:val="16"/>
                <w:szCs w:val="16"/>
              </w:rPr>
              <w:t xml:space="preserve">Hot sparks and swarf — fire risk and burns. Noise exposure. Sharp edges on cut metal. Eye injury from grinding. Kickback from angle grinder.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Designated cutting area with fire-resistant surface. Guard fitted on all angle grinders — correct disc type for material (metal cutting disc, not masonry). Fire extinguisher within 5m of hot work area. Sharp edge protection — deburring after cutting.</w:t>
            </w:r>
          </w:p>
          <w:p>
            <w:pPr>
              <w:spacing w:before="20" w:after="20" w:line="276"/>
            </w:pPr>
            <w:r>
              <w:rPr>
                <w:rFonts w:ascii="Aptos" w:hAnsi="Aptos"/>
                <w:sz w:val="16"/>
                <w:szCs w:val="16"/>
                <w:b/>
              </w:rPr>
              <w:t xml:space="preserve">Admin: </w:t>
            </w:r>
            <w:r>
              <w:rPr>
                <w:rFonts w:ascii="Aptos" w:hAnsi="Aptos"/>
                <w:sz w:val="16"/>
                <w:szCs w:val="16"/>
              </w:rPr>
              <w:t xml:space="preserve">Hot work assessment completed if cutting near combustibles. Fire watch maintained for 30 minutes after hot work ceases. Cutting scheduled to minimise impact on adjacent work — noise and spark management. Off-site prefabrication preferred where possible.</w:t>
            </w:r>
          </w:p>
          <w:p>
            <w:pPr>
              <w:spacing w:before="20" w:after="20" w:line="276"/>
            </w:pPr>
            <w:r>
              <w:rPr>
                <w:rFonts w:ascii="Aptos" w:hAnsi="Aptos"/>
                <w:sz w:val="16"/>
                <w:szCs w:val="16"/>
                <w:b/>
              </w:rPr>
              <w:t xml:space="preserve">PPE: </w:t>
            </w:r>
            <w:r>
              <w:rPr>
                <w:rFonts w:ascii="Aptos" w:hAnsi="Aptos"/>
                <w:sz w:val="16"/>
                <w:szCs w:val="16"/>
              </w:rPr>
              <w:t xml:space="preserve">Face shield and eye protection. Hearing protection (&gt;85 dB, Class 5). Leather or cut-resistant gloves. Long sleeves — no synthetic clothing near sparks.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Grinder guard missing or damaged — wrong disc type for material — combustibles in spark path — fire extinguisher not available — synthetic clothing being worn near sparks.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Weatherproofing and Flashing Installation</w:t>
            </w:r>
          </w:p>
          <w:p>
            <w:pPr>
              <w:spacing w:before="20" w:after="20" w:line="276"/>
            </w:pPr>
            <w:r>
              <w:rPr>
                <w:rFonts w:ascii="Aptos" w:hAnsi="Aptos"/>
                <w:sz w:val="16"/>
                <w:szCs w:val="16"/>
              </w:rPr>
              <w:t xml:space="preserve">Installation of flashings, weatherseals, cavity closers, sarking, and weather barriers to cladding systems. Includes window and door head/sill/jamb flashings and parapet cappings.</w:t>
            </w:r>
          </w:p>
        </w:tc>
        <w:tc>
          <w:tcPr>
            <w:tcW w:w="2458" w:type="dxa"/>
          </w:tcPr>
          <w:p>
            <w:pPr>
              <w:spacing w:before="20" w:after="20" w:line="276"/>
            </w:pPr>
            <w:r>
              <w:rPr>
                <w:rFonts w:ascii="Aptos" w:hAnsi="Aptos"/>
                <w:sz w:val="16"/>
                <w:szCs w:val="16"/>
              </w:rPr>
              <w:t xml:space="preserve">Sharp edges on flashings — lacerations. Manual handling of long flashing pieces. Wind catching flashing during installation. Working at height. Sealant chemical exposure.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Flashings pre-formed to correct profile — minimal on-site bending. Long flashings handled by two workers minimum. Tag lines on flashings being installed at height in wind. Sharp edges deburred before installation.</w:t>
            </w:r>
          </w:p>
          <w:p>
            <w:pPr>
              <w:spacing w:before="20" w:after="20" w:line="276"/>
            </w:pPr>
            <w:r>
              <w:rPr>
                <w:rFonts w:ascii="Aptos" w:hAnsi="Aptos"/>
                <w:sz w:val="16"/>
                <w:szCs w:val="16"/>
                <w:b/>
              </w:rPr>
              <w:t xml:space="preserve">Admin: </w:t>
            </w:r>
            <w:r>
              <w:rPr>
                <w:rFonts w:ascii="Aptos" w:hAnsi="Aptos"/>
                <w:sz w:val="16"/>
                <w:szCs w:val="16"/>
              </w:rPr>
              <w:t xml:space="preserve">Flashing installation sequence per cladding design — installed before panel closure. Overlap direction and weatherlap dimensions confirmed per specification. Sealant compatibility with cladding system verified — no silicone on painted surfaces unless specified.</w:t>
            </w:r>
          </w:p>
          <w:p>
            <w:pPr>
              <w:spacing w:before="20" w:after="20" w:line="276"/>
            </w:pPr>
            <w:r>
              <w:rPr>
                <w:rFonts w:ascii="Aptos" w:hAnsi="Aptos"/>
                <w:sz w:val="16"/>
                <w:szCs w:val="16"/>
                <w:b/>
              </w:rPr>
              <w:t xml:space="preserve">PPE: </w:t>
            </w:r>
            <w:r>
              <w:rPr>
                <w:rFonts w:ascii="Aptos" w:hAnsi="Aptos"/>
                <w:sz w:val="16"/>
                <w:szCs w:val="16"/>
              </w:rPr>
              <w:t xml:space="preserve">Cut-resistant gloves. Eye protection. Steel capped footwear. Harness when working at height.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Flashing profile incorrect — wind making handling unsafe — sealant compatibility not confirmed — overlap direction wrong (will trap water).</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Asbestos Cement Sheet — Identification and Management</w:t>
            </w:r>
          </w:p>
          <w:p>
            <w:pPr>
              <w:spacing w:before="20" w:after="20" w:line="276"/>
            </w:pPr>
            <w:r>
              <w:rPr>
                <w:rFonts w:ascii="Aptos" w:hAnsi="Aptos"/>
                <w:sz w:val="16"/>
                <w:szCs w:val="16"/>
              </w:rPr>
              <w:t xml:space="preserve">Identification, assessment, and management of asbestos-containing materials (ACM) encountered during cladding works. Includes non-friable ACM handling under 10m² and interface with licensed asbestos removalists for larger quantities or friable material.</w:t>
            </w:r>
          </w:p>
        </w:tc>
        <w:tc>
          <w:tcPr>
            <w:tcW w:w="2458" w:type="dxa"/>
          </w:tcPr>
          <w:p>
            <w:pPr>
              <w:spacing w:before="20" w:after="20" w:line="276"/>
            </w:pPr>
            <w:r>
              <w:rPr>
                <w:rFonts w:ascii="Aptos" w:hAnsi="Aptos"/>
                <w:sz w:val="16"/>
                <w:szCs w:val="16"/>
              </w:rPr>
              <w:t xml:space="preserve">Inhalation of asbestos fibres — mesothelioma, asbestosis, lung cancer. Uncontrolled fibre release during disturbance. Contamination of work area. Incorrect disposal.</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Hazardous materials survey completed by competent person (occupational hygienist or licensed assessor) — all ACM identified, labelled, and documented in asbestos register</w:t>
            </w:r>
          </w:p>
          <w:p>
            <w:pPr>
              <w:spacing w:before="20" w:after="20" w:line="276"/>
              <w:numPr>
                <w:ilvl w:val="0"/>
                <w:numId w:val="48"/>
              </w:numPr>
            </w:pPr>
            <w:r>
              <w:rPr>
                <w:rFonts w:ascii="Aptos" w:hAnsi="Aptos"/>
                <w:sz w:val="16"/>
                <w:szCs w:val="16"/>
              </w:rPr>
              <w:t xml:space="preserve">If ACM identified: asbestos management plan in place per WHS Regulation Chapter 8. Non-friable &lt;10m²: Class B licence holder on site. Friable or &gt;10m²: Class A licence holder required</w:t>
            </w:r>
          </w:p>
          <w:p>
            <w:pPr>
              <w:spacing w:before="20" w:after="20" w:line="276"/>
              <w:numPr>
                <w:ilvl w:val="0"/>
                <w:numId w:val="48"/>
              </w:numPr>
            </w:pPr>
            <w:r>
              <w:rPr>
                <w:rFonts w:ascii="Aptos" w:hAnsi="Aptos"/>
                <w:sz w:val="16"/>
                <w:szCs w:val="16"/>
              </w:rPr>
              <w:t xml:space="preserve">Air monitoring arranged for removal works per SafeWork NSW Code of Practice — clearance certificate required before general work resumes in area</w:t>
            </w:r>
          </w:p>
          <w:p>
            <w:pPr>
              <w:spacing w:before="20" w:after="20" w:line="276"/>
              <w:numPr>
                <w:ilvl w:val="0"/>
                <w:numId w:val="48"/>
              </w:numPr>
            </w:pPr>
            <w:r>
              <w:rPr>
                <w:rFonts w:ascii="Aptos" w:hAnsi="Aptos"/>
                <w:sz w:val="16"/>
                <w:szCs w:val="16"/>
              </w:rPr>
              <w:t xml:space="preserve">Workers involved in ACM work hold current asbestos awareness training (minimum) — removal workers hold appropriate licence class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Wet methods for all ACM disturbance — PVA spray before cutting or drilling. No power tools on ACM unless equipped with HEPA-filtered dust extraction. Containment enclosure for removal works. HEPA vacuum for clean-up — no dry sweeping.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Asbestos register reviewed before any cladding removal commences. Any suspected ACM tested before disturbance — presume asbestos until tested. Waste double-bagged in labelled asbestos bags, disposed of at licensed facility with tracking documentation. Clearance inspection and certificate before area released for general work.</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P2 respirator minimum for non-friable ACM work. Half-face P3 with particulate filter for friable ACM. Disposable Type 5/6 coveralls — removed and bagged before leaving work area. Eye protection.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Suspected ACM encountered without prior identification — any ACM found friable or damaged — removal area not enclosed — air monitoring not in place — workers without appropriate training or licence — ACM waste not correctly contained — clearance certificate not obtained before area released.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HAZ-H9</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sz w:val="16"/>
                <w:szCs w:val="16"/>
              </w:rPr>
              <w:t>Mechanical joint preparation — oscillating tool or hook blade to remove old sealant — If joint widening requires cutting into concrete or masonry apply Silica controls</w:t>
            </w:r>
            <w:r>
              <w:rPr>
                <w:rFonts w:ascii="Aptos" w:hAnsi="Aptos"/>
                <w:sz w:val="16"/>
                <w:szCs w:val="16"/>
              </w:rPr>
              <w:br/>
            </w:r>
            <w:r>
              <w:rPr>
                <w:rFonts w:ascii="Aptos" w:hAnsi="Aptos"/>
                <w:b/>
                <w:sz w:val="16"/>
                <w:szCs w:val="16"/>
              </w:rPr>
              <w:t xml:space="preserve">Engineering: </w:t>
            </w:r>
            <w:r>
              <w:rPr>
                <w:rFonts w:ascii="Aptos" w:hAnsi="Aptos"/>
                <w:sz w:val="16"/>
                <w:szCs w:val="16"/>
              </w:rPr>
              <w:t>Backer rod installed to correct depth before sealant application — confirm joint profile per manufacturer's specification</w:t>
            </w:r>
            <w:r>
              <w:rPr>
                <w:rFonts w:ascii="Aptos" w:hAnsi="Aptos"/>
                <w:sz w:val="16"/>
                <w:szCs w:val="16"/>
              </w:rPr>
              <w:br/>
            </w:r>
            <w:r>
              <w:rPr>
                <w:rFonts w:ascii="Aptos" w:hAnsi="Aptos"/>
                <w:b/>
                <w:sz w:val="16"/>
                <w:szCs w:val="16"/>
              </w:rPr>
              <w:t xml:space="preserve">Admin: </w:t>
            </w:r>
            <w:r>
              <w:rPr>
                <w:rFonts w:ascii="Aptos" w:hAnsi="Aptos"/>
                <w:sz w:val="16"/>
                <w:szCs w:val="16"/>
              </w:rPr>
              <w:t>SDS reviewed for sealant and primer products — on site before use. Product compatibility confirmed with substrate and adjacent coatings</w:t>
            </w:r>
            <w:r>
              <w:rPr>
                <w:rFonts w:ascii="Aptos" w:hAnsi="Aptos"/>
                <w:sz w:val="16"/>
                <w:szCs w:val="16"/>
              </w:rPr>
              <w:br/>
            </w:r>
            <w:r>
              <w:rPr>
                <w:rFonts w:ascii="Aptos" w:hAnsi="Aptos"/>
                <w:b/>
                <w:sz w:val="16"/>
                <w:szCs w:val="16"/>
              </w:rPr>
              <w:t xml:space="preserve">PPE: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STOP WORK if:</w:t>
            </w:r>
            <w:r>
              <w:rPr>
                <w:rFonts w:ascii="Aptos" w:hAnsi="Aptos"/>
                <w:b/>
                <w:bCs/>
                <w:sz w:val="16"/>
                <w:szCs w:val="16"/>
              </w:rPr>
              <w:t xml:space="preserve"> </w:t>
            </w:r>
            <w:r>
              <w:rPr>
                <w:rFonts w:ascii="Aptos" w:hAnsi="Aptos"/>
                <w:sz w:val="16"/>
                <w:szCs w:val="16"/>
              </w:rPr>
              <w:t>Joint preparation exposes silica-bearing material without silica controls in place — SDS not available — product applied to wet or contaminated joint —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0722306-7451-4340-847E-7C7A191D8CFA}"/>
    <w:embedBold r:id="rId2" w:fontKey="{D6A9CC5E-B4DB-4EFA-AB2E-747A97D51732}"/>
    <w:embedItalic r:id="rId3" w:fontKey="{E4A3468C-04EA-495A-926C-BF94F683DA76}"/>
  </w:font>
  <w:font w:name="Georgia">
    <w:panose1 w:val="02040502050405020303"/>
    <w:charset w:val="00"/>
    <w:family w:val="roman"/>
    <w:pitch w:val="variable"/>
    <w:sig w:usb0="00000287" w:usb1="00000000" w:usb2="00000000" w:usb3="00000000" w:csb0="0000009F" w:csb1="00000000"/>
    <w:embedItalic r:id="rId4" w:fontKey="{400F8238-D54F-4368-9936-28BE16198980}"/>
  </w:font>
  <w:font w:name="Aptos">
    <w:charset w:val="00"/>
    <w:family w:val="swiss"/>
    <w:pitch w:val="variable"/>
    <w:sig w:usb0="20000287" w:usb1="00000003" w:usb2="00000000" w:usb3="00000000" w:csb0="0000019F" w:csb1="00000000"/>
    <w:embedRegular r:id="rId5" w:fontKey="{1E2B47AE-55E9-44A2-9CF4-FB9F4BCFD121}"/>
    <w:embedBold r:id="rId6" w:fontKey="{DE496ED9-0332-4E1D-8973-125A9A653720}"/>
  </w:font>
  <w:font w:name="Segoe UI Symbol">
    <w:panose1 w:val="020B0502040204020203"/>
    <w:charset w:val="00"/>
    <w:family w:val="swiss"/>
    <w:pitch w:val="variable"/>
    <w:sig w:usb0="800001E3" w:usb1="1200FFEF" w:usb2="00040000" w:usb3="00000000" w:csb0="00000001" w:csb1="00000000"/>
    <w:embedBold r:id="rId7" w:fontKey="{FDACB13E-3254-4EC3-8078-223498B9B38E}"/>
  </w:font>
  <w:font w:name="Cambria">
    <w:panose1 w:val="02040503050406030204"/>
    <w:charset w:val="00"/>
    <w:family w:val="roman"/>
    <w:pitch w:val="variable"/>
    <w:sig w:usb0="E00006FF" w:usb1="420024FF" w:usb2="02000000" w:usb3="00000000" w:csb0="0000019F" w:csb1="00000000"/>
    <w:embedRegular r:id="rId8" w:fontKey="{A4DFF2A6-C443-44FA-9C89-0A4CB6A287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hint="default"/>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5">
    <w:multiLevelType w:val="hybridMultilevel"/>
    <w:lvl w:ilvl="0" w:tplc="77DCCBE4">
      <w:start w:val="1"/>
      <w:numFmt w:val="decimal"/>
      <w:lvlText w:val="%1."/>
      <w:lvlJc w:val="left"/>
      <w:pPr>
        <w:ind w:left="360" w:hanging="360"/>
      </w:pPr>
      <w:rPr>
        <w:rFonts w:hint="default"/>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7">
    <w:multiLevelType w:val="hybridMultilevel"/>
    <w:lvl w:ilvl="0" w:tplc="77DCCBE4">
      <w:start w:val="1"/>
      <w:numFmt w:val="decimal"/>
      <w:lvlText w:val="%1."/>
      <w:lvlJc w:val="left"/>
      <w:pPr>
        <w:ind w:left="360" w:hanging="360"/>
      </w:pPr>
      <w:rPr>
        <w:rFonts w:hint="default"/>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35C3"/>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A99"/>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2E86"/>
    <w:rsid w:val="006949E3"/>
    <w:rsid w:val="00697FA4"/>
    <w:rsid w:val="006A00A9"/>
    <w:rsid w:val="006A6CA1"/>
    <w:rsid w:val="006B1462"/>
    <w:rsid w:val="006B2878"/>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326E"/>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1A7"/>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20</Pages>
  <Words>7149</Words>
  <Characters>41822</Characters>
  <Application>Microsoft Office Word</Application>
  <DocSecurity>0</DocSecurity>
  <Lines>1548</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11</cp:revision>
  <dcterms:created xsi:type="dcterms:W3CDTF">2026-02-26T11:46:00Z</dcterms:created>
  <dcterms:modified xsi:type="dcterms:W3CDTF">2026-02-26T12:38:00Z</dcterms:modified>
</cp:coreProperties>
</file>